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医薬品を正しく購入するための</w:t>
      </w:r>
    </w:p>
    <w:p>
      <w:pPr>
        <w:jc w:val="center"/>
        <w:rPr>
          <w:rFonts w:ascii="ＭＳ Ｐゴシック" w:hAnsi="ＭＳ Ｐゴシック" w:eastAsia="ＭＳ Ｐゴシック"/>
          <w:sz w:val="48"/>
          <w:szCs w:val="21"/>
          <w:u w:val="single"/>
        </w:rPr>
      </w:pPr>
      <w:r>
        <w:rPr>
          <w:rFonts w:hint="eastAsia" w:ascii="ＭＳ Ｐゴシック" w:hAnsi="ＭＳ Ｐゴシック" w:eastAsia="ＭＳ Ｐゴシック"/>
          <w:spacing w:val="80"/>
          <w:kern w:val="0"/>
          <w:sz w:val="48"/>
          <w:szCs w:val="48"/>
          <w:fitText w:val="2400" w:id="0"/>
        </w:rPr>
        <w:t>説明文</w:t>
      </w:r>
      <w:r>
        <w:rPr>
          <w:rFonts w:hint="eastAsia" w:ascii="ＭＳ Ｐゴシック" w:hAnsi="ＭＳ Ｐゴシック" w:eastAsia="ＭＳ Ｐゴシック"/>
          <w:kern w:val="0"/>
          <w:sz w:val="48"/>
          <w:szCs w:val="48"/>
          <w:fitText w:val="2400" w:id="0"/>
        </w:rPr>
        <w:t>書</w:t>
      </w:r>
    </w:p>
    <w:p>
      <w:pPr>
        <w:snapToGrid w:val="0"/>
        <w:rPr>
          <w:rFonts w:ascii="ＭＳ Ｐゴシック" w:hAnsi="ＭＳ Ｐゴシック" w:eastAsia="ＭＳ Ｐゴシック"/>
          <w:sz w:val="22"/>
          <w:szCs w:val="16"/>
        </w:rPr>
      </w:pPr>
    </w:p>
    <w:tbl>
      <w:tblPr>
        <w:tblStyle w:val="6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885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ind w:left="-107" w:leftChars="-51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第二類医薬品</w:t>
            </w:r>
          </w:p>
        </w:tc>
        <w:tc>
          <w:tcPr>
            <w:tcW w:w="388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</w:tc>
        <w:tc>
          <w:tcPr>
            <w:tcW w:w="4095" w:type="dxa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使用前には必ず添付文書を読んで下さい</w:t>
            </w:r>
          </w:p>
        </w:tc>
      </w:tr>
    </w:tbl>
    <w:p>
      <w:pPr>
        <w:snapToGrid w:val="0"/>
        <w:rPr>
          <w:rFonts w:ascii="ＭＳ Ｐゴシック" w:hAnsi="ＭＳ Ｐゴシック" w:eastAsia="ＭＳ Ｐゴシック"/>
          <w:sz w:val="22"/>
          <w:szCs w:val="16"/>
        </w:rPr>
      </w:pPr>
    </w:p>
    <w:tbl>
      <w:tblPr>
        <w:tblStyle w:val="6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359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１</w:t>
            </w:r>
          </w:p>
        </w:tc>
        <w:tc>
          <w:tcPr>
            <w:tcW w:w="1359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名称</w:t>
            </w:r>
          </w:p>
        </w:tc>
        <w:tc>
          <w:tcPr>
            <w:tcW w:w="7980" w:type="dxa"/>
            <w:vAlign w:val="center"/>
          </w:tcPr>
          <w:p>
            <w:pPr>
              <w:spacing w:before="116" w:beforeLines="35"/>
              <w:ind w:right="-2" w:rightChars="-1" w:firstLine="3146" w:firstLineChars="143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hAnsi="ＭＳ Ｐゴシック" w:eastAsia="ＭＳ Ｐゴシック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2888615</wp:posOffset>
                  </wp:positionH>
                  <wp:positionV relativeFrom="paragraph">
                    <wp:posOffset>64770</wp:posOffset>
                  </wp:positionV>
                  <wp:extent cx="1764030" cy="260350"/>
                  <wp:effectExtent l="0" t="0" r="7620" b="6350"/>
                  <wp:wrapNone/>
                  <wp:docPr id="14" name="図 14" descr="大幸薬品株式会社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 descr="大幸薬品株式会社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7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03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Ｐゴシック" w:hAnsi="ＭＳ Ｐゴシック" w:eastAsia="ＭＳ Ｐゴシック"/>
                <w:sz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44450</wp:posOffset>
                  </wp:positionV>
                  <wp:extent cx="915670" cy="282575"/>
                  <wp:effectExtent l="0" t="0" r="17780" b="3175"/>
                  <wp:wrapNone/>
                  <wp:docPr id="11" name="図 11" descr="正露丸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1" descr="正露丸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（製造販売元　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２</w:t>
            </w:r>
          </w:p>
        </w:tc>
        <w:tc>
          <w:tcPr>
            <w:tcW w:w="1359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成分・分量</w:t>
            </w:r>
          </w:p>
        </w:tc>
        <w:tc>
          <w:tcPr>
            <w:tcW w:w="7980" w:type="dxa"/>
          </w:tcPr>
          <w:p>
            <w:pPr>
              <w:pStyle w:val="2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140970</wp:posOffset>
                      </wp:positionV>
                      <wp:extent cx="262890" cy="212090"/>
                      <wp:effectExtent l="0" t="0" r="0" b="0"/>
                      <wp:wrapNone/>
                      <wp:docPr id="1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hAnsi="ＭＳ Ｐゴシック" w:eastAsia="ＭＳ Ｐゴシック"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026" o:spt="202" type="#_x0000_t202" style="position:absolute;left:0pt;margin-left:44.55pt;margin-top:11.1pt;height:16.7pt;width:20.7pt;z-index:251658240;mso-width-relative:page;mso-height-relative:page;" filled="f" stroked="f" coordsize="21600,21600" o:gfxdata="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BxyH&#10;2QAAAAgBAAAPAAAAAAAAAAEAIAAAACIAAABkcnMvZG93bnJldi54bWxQSwECFAAUAAAACACHTuJA&#10;ZS5ZI+cBAADEAwAADgAAAAAAAAABACAAAAAoAQAAZHJzL2Uyb0RvYy54bWxQSwUGAAAAAAYABgBZ&#10;AQAAgQUAAAAA&#10;">
                      <v:fill on="f" focussize="0,0"/>
                      <v:stroke on="f"/>
                      <v:imagedata o:title=""/>
                      <o:lock v:ext="edit" aspectratio="f"/>
                      <v:textbox inset="2.06375mm,0.7pt,2.06375mm,0.7pt"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hAnsi="ＭＳ Ｐゴシック" w:eastAsia="ＭＳ Ｐゴシック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９粒（成人の１日最大服用量）中、</w:t>
            </w:r>
          </w:p>
          <w:p>
            <w:pPr>
              <w:pStyle w:val="2"/>
              <w:tabs>
                <w:tab w:val="left" w:pos="55"/>
                <w:tab w:val="left" w:pos="1898"/>
              </w:tabs>
              <w:spacing w:before="100" w:beforeLines="30"/>
            </w:pPr>
            <w:r>
              <w:tab/>
            </w:r>
            <w:r>
              <w:rPr>
                <w:rFonts w:hint="eastAsia"/>
              </w:rPr>
              <w:t>日局　</w:t>
            </w:r>
            <w:r>
              <w:fldChar w:fldCharType="begin"/>
            </w:r>
            <w:r>
              <w:instrText xml:space="preserve">EQ \* jc2 \* hps11 \o\ad(\s\up 10(</w:instrText>
            </w:r>
            <w:r>
              <w:rPr>
                <w:sz w:val="11"/>
              </w:rPr>
              <w:instrText xml:space="preserve">もく</w:instrText>
            </w:r>
            <w:r>
              <w:instrText xml:space="preserve">),木)</w:instrText>
            </w:r>
            <w:r>
              <w:fldChar w:fldCharType="end"/>
            </w:r>
            <w:r>
              <w:rPr>
                <w:rFonts w:hint="eastAsia"/>
              </w:rPr>
              <w:t>クレオソート　４００ｍｇ、日局　アセンヤク末　２００ｍｇ、</w:t>
            </w:r>
          </w:p>
          <w:p>
            <w:pPr>
              <w:pStyle w:val="2"/>
              <w:tabs>
                <w:tab w:val="left" w:pos="55"/>
                <w:tab w:val="left" w:pos="1898"/>
              </w:tabs>
            </w:pPr>
            <w:r>
              <w:tab/>
            </w:r>
            <w:r>
              <w:rPr>
                <w:rFonts w:hint="eastAsia"/>
              </w:rPr>
              <w:t>日局　オウバク末</w:t>
            </w:r>
            <w:r>
              <w:tab/>
            </w:r>
            <w:r>
              <w:rPr>
                <w:rFonts w:hint="eastAsia"/>
              </w:rPr>
              <w:t>３００ｍｇ、日局　カンゾウ末 １５０ｍｇ、チンピ末 ３００ｍｇ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３</w:t>
            </w:r>
          </w:p>
        </w:tc>
        <w:tc>
          <w:tcPr>
            <w:tcW w:w="1359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用法・用量</w:t>
            </w:r>
          </w:p>
        </w:tc>
        <w:tc>
          <w:tcPr>
            <w:tcW w:w="7980" w:type="dxa"/>
          </w:tcPr>
          <w:p>
            <w:pPr>
              <w:numPr>
                <w:ilvl w:val="0"/>
                <w:numId w:val="1"/>
              </w:numPr>
              <w:ind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次の量を、１日３回、食後（なるべく３０分以内）に必ず水またはお湯といっしょに服用してください。　　</w:t>
            </w:r>
          </w:p>
          <w:p>
            <w:pPr>
              <w:tabs>
                <w:tab w:val="left" w:pos="2517"/>
              </w:tabs>
              <w:ind w:left="439" w:leftChars="209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成人（１５才以上）　１回３粒、１１才以上１５才未満　１回２粒、８才以上１１才未満　１回１．５粒、５才以上８才未満　１回１粒、５才未満　服用しないでください</w:t>
            </w:r>
          </w:p>
          <w:p>
            <w:pPr>
              <w:numPr>
                <w:ilvl w:val="0"/>
                <w:numId w:val="1"/>
              </w:numPr>
              <w:ind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むし歯痛には、１～１/２粒を歯窩（むし歯の穴）につめてください。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４</w:t>
            </w:r>
          </w:p>
        </w:tc>
        <w:tc>
          <w:tcPr>
            <w:tcW w:w="1359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効能・効果</w:t>
            </w:r>
          </w:p>
        </w:tc>
        <w:tc>
          <w:tcPr>
            <w:tcW w:w="7980" w:type="dxa"/>
          </w:tcPr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軟便、下痢、食あたり、水あたり、はき下し、くだり腹、消化不良による下痢、むし歯痛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bookmarkStart w:id="0" w:name="_GoBack"/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５</w:t>
            </w:r>
          </w:p>
        </w:tc>
        <w:tc>
          <w:tcPr>
            <w:tcW w:w="1359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保健衛生上の危害を防止　するために　必要な事項</w:t>
            </w:r>
          </w:p>
        </w:tc>
        <w:tc>
          <w:tcPr>
            <w:tcW w:w="7980" w:type="dxa"/>
          </w:tcPr>
          <w:p>
            <w:pPr>
              <w:numPr>
                <w:ilvl w:val="0"/>
                <w:numId w:val="2"/>
              </w:numPr>
              <w:ind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次の方は使用しないでください。</w:t>
            </w:r>
          </w:p>
          <w:p>
            <w:pPr>
              <w:ind w:left="338" w:leftChars="16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今までに本剤又は本剤の成分によるアレルギー症状（発疹・発赤、かゆみ、むくみなど）を起こしたことがある方</w:t>
            </w:r>
          </w:p>
          <w:p>
            <w:pPr>
              <w:numPr>
                <w:ilvl w:val="0"/>
                <w:numId w:val="2"/>
              </w:numPr>
              <w:ind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むし歯痛に使用する場合、本剤は一時的に痛みをとるのみで治療効果はありませんので、痛みが治まってもなるべく早く歯科医師の治療を受けてください。また、痛みがやわらげば、本剤をむし歯の穴から取り除き、決してつめたまま放置しないでください。</w:t>
            </w:r>
          </w:p>
          <w:p>
            <w:pPr>
              <w:spacing w:before="167" w:beforeLines="50"/>
              <w:ind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次に該当する人はお申し出ください。</w:t>
            </w:r>
          </w:p>
          <w:p>
            <w:pPr>
              <w:numPr>
                <w:ilvl w:val="2"/>
                <w:numId w:val="2"/>
              </w:numPr>
              <w:tabs>
                <w:tab w:val="left" w:pos="837"/>
              </w:tabs>
              <w:ind w:left="837" w:right="-2" w:rightChars="-1" w:hanging="21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医師又は歯科医師の治療を受けている方</w:t>
            </w:r>
          </w:p>
          <w:p>
            <w:pPr>
              <w:numPr>
                <w:ilvl w:val="2"/>
                <w:numId w:val="2"/>
              </w:numPr>
              <w:tabs>
                <w:tab w:val="left" w:pos="837"/>
              </w:tabs>
              <w:ind w:left="837" w:right="-2" w:rightChars="-1" w:hanging="21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発熱を伴う下痢のある方、血便のある方又は粘液便の続く方</w:t>
            </w:r>
          </w:p>
          <w:p>
            <w:pPr>
              <w:numPr>
                <w:ilvl w:val="2"/>
                <w:numId w:val="2"/>
              </w:numPr>
              <w:tabs>
                <w:tab w:val="left" w:pos="837"/>
              </w:tabs>
              <w:ind w:left="837" w:right="-2" w:rightChars="-1" w:hanging="21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妊婦、妊娠していると思われる方又は授乳中の方</w:t>
            </w:r>
          </w:p>
          <w:p>
            <w:pPr>
              <w:numPr>
                <w:ilvl w:val="2"/>
                <w:numId w:val="2"/>
              </w:numPr>
              <w:tabs>
                <w:tab w:val="left" w:pos="837"/>
              </w:tabs>
              <w:ind w:left="837" w:right="-2" w:rightChars="-1" w:hanging="21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高齢者</w:t>
            </w:r>
          </w:p>
          <w:p>
            <w:pPr>
              <w:numPr>
                <w:ilvl w:val="2"/>
                <w:numId w:val="2"/>
              </w:numPr>
              <w:tabs>
                <w:tab w:val="left" w:pos="837"/>
              </w:tabs>
              <w:ind w:left="837" w:right="-2" w:rightChars="-1" w:hanging="21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薬や化粧品などによるアレルギー症状を起こしたことがある方</w:t>
            </w:r>
          </w:p>
          <w:p>
            <w:pPr>
              <w:numPr>
                <w:ilvl w:val="2"/>
                <w:numId w:val="2"/>
              </w:numPr>
              <w:tabs>
                <w:tab w:val="left" w:pos="837"/>
              </w:tabs>
              <w:ind w:left="837" w:right="-2" w:rightChars="-1" w:hanging="210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2"/>
              </w:rPr>
              <w:t>肝臓や腎臓に疾患のある方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６</w:t>
            </w:r>
          </w:p>
        </w:tc>
        <w:tc>
          <w:tcPr>
            <w:tcW w:w="1359" w:type="dxa"/>
            <w:vAlign w:val="center"/>
          </w:tcPr>
          <w:p>
            <w:pPr>
              <w:ind w:left="-113" w:leftChars="-54" w:right="-107" w:rightChars="-51"/>
              <w:jc w:val="center"/>
              <w:rPr>
                <w:rFonts w:ascii="ＭＳ Ｐゴシック" w:hAnsi="ＭＳ Ｐゴシック" w:eastAsia="ＭＳ Ｐゴシック"/>
                <w:sz w:val="22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  <w:szCs w:val="21"/>
              </w:rPr>
              <w:t>薬剤師または登録販売者が必要と判断　する事項</w:t>
            </w:r>
          </w:p>
        </w:tc>
        <w:tc>
          <w:tcPr>
            <w:tcW w:w="7980" w:type="dxa"/>
          </w:tcPr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  <w:p>
            <w:pPr>
              <w:ind w:left="-2" w:leftChars="-1" w:right="-2" w:rightChars="-1"/>
              <w:rPr>
                <w:rFonts w:ascii="ＭＳ Ｐゴシック" w:hAnsi="ＭＳ Ｐゴシック" w:eastAsia="ＭＳ Ｐゴシック"/>
                <w:sz w:val="22"/>
                <w:szCs w:val="22"/>
              </w:rPr>
            </w:pPr>
          </w:p>
        </w:tc>
      </w:tr>
    </w:tbl>
    <w:p>
      <w:pPr>
        <w:rPr>
          <w:rFonts w:ascii="ＭＳ Ｐゴシック" w:hAnsi="ＭＳ Ｐゴシック" w:eastAsia="ＭＳ Ｐゴシック"/>
          <w:sz w:val="22"/>
          <w:szCs w:val="21"/>
        </w:rPr>
      </w:pPr>
      <w:r>
        <w:rPr>
          <w:rFonts w:hint="eastAsia" w:ascii="ＭＳ Ｐゴシック" w:hAnsi="ＭＳ Ｐゴシック" w:eastAsia="ＭＳ Ｐゴシック"/>
          <w:sz w:val="22"/>
          <w:szCs w:val="21"/>
        </w:rPr>
        <w:t>〔注意事項〕</w:t>
      </w:r>
    </w:p>
    <w:p>
      <w:pPr>
        <w:ind w:left="210" w:leftChars="100"/>
        <w:rPr>
          <w:rFonts w:ascii="ＭＳ Ｐゴシック" w:hAnsi="ＭＳ Ｐゴシック" w:eastAsia="ＭＳ Ｐゴシック"/>
          <w:sz w:val="22"/>
          <w:szCs w:val="21"/>
        </w:rPr>
      </w:pPr>
      <w:r>
        <w:rPr>
          <w:rFonts w:hint="eastAsia" w:ascii="ＭＳ Ｐゴシック" w:hAnsi="ＭＳ Ｐゴシック" w:eastAsia="ＭＳ Ｐゴシック"/>
          <w:sz w:val="22"/>
          <w:szCs w:val="21"/>
        </w:rPr>
        <w:t>１．本紙の内容は、お客様が医薬品を購入・選択時に、役立たせるために必要な情報です。</w:t>
      </w:r>
    </w:p>
    <w:p>
      <w:pPr>
        <w:ind w:left="210" w:leftChars="100"/>
        <w:rPr>
          <w:rFonts w:ascii="ＭＳ Ｐゴシック" w:hAnsi="ＭＳ Ｐゴシック" w:eastAsia="ＭＳ Ｐゴシック"/>
          <w:sz w:val="22"/>
          <w:szCs w:val="21"/>
        </w:rPr>
      </w:pPr>
      <w:r>
        <w:rPr>
          <w:rFonts w:hint="eastAsia" w:ascii="ＭＳ Ｐゴシック" w:hAnsi="ＭＳ Ｐゴシック" w:eastAsia="ＭＳ Ｐゴシック"/>
          <w:sz w:val="22"/>
          <w:szCs w:val="21"/>
        </w:rPr>
        <w:t>２．情報提供が不必要とされるお客様には、申し出により情報提供は行いません。</w:t>
      </w:r>
    </w:p>
    <w:p>
      <w:pPr>
        <w:ind w:left="-2" w:leftChars="-1" w:firstLine="220" w:firstLineChars="100"/>
        <w:rPr>
          <w:rFonts w:ascii="ＭＳ Ｐゴシック" w:hAnsi="ＭＳ Ｐゴシック" w:eastAsia="ＭＳ Ｐゴシック"/>
          <w:sz w:val="22"/>
          <w:szCs w:val="21"/>
        </w:rPr>
      </w:pPr>
      <w:r>
        <w:rPr>
          <w:rFonts w:hint="eastAsia" w:ascii="ＭＳ Ｐゴシック" w:hAnsi="ＭＳ Ｐゴシック" w:eastAsia="ＭＳ Ｐゴシック"/>
          <w:sz w:val="22"/>
          <w:szCs w:val="21"/>
        </w:rPr>
        <w:t>３．使用後、体調に変化等があった場合(副作用など)には使用を中止し、すぐに購入された店舗の</w:t>
      </w:r>
    </w:p>
    <w:p>
      <w:pPr>
        <w:ind w:left="63" w:leftChars="30" w:firstLine="440" w:firstLineChars="200"/>
        <w:rPr>
          <w:rFonts w:ascii="ＭＳ Ｐゴシック" w:hAnsi="ＭＳ Ｐゴシック" w:eastAsia="ＭＳ Ｐゴシック"/>
          <w:sz w:val="22"/>
          <w:szCs w:val="21"/>
        </w:rPr>
      </w:pPr>
      <w:r>
        <w:rPr>
          <w:rFonts w:hint="eastAsia" w:ascii="ＭＳ Ｐゴシック" w:hAnsi="ＭＳ Ｐゴシック" w:eastAsia="ＭＳ Ｐゴシック"/>
          <w:sz w:val="22"/>
          <w:szCs w:val="21"/>
        </w:rPr>
        <w:t>薬剤師または登録販売者にご相談下さい。</w:t>
      </w:r>
    </w:p>
    <w:p>
      <w:pPr>
        <w:ind w:left="944" w:leftChars="240" w:hanging="440" w:hangingChars="200"/>
        <w:rPr>
          <w:rFonts w:ascii="ＭＳ Ｐゴシック" w:hAnsi="ＭＳ Ｐゴシック" w:eastAsia="ＭＳ Ｐゴシック"/>
          <w:sz w:val="22"/>
          <w:szCs w:val="21"/>
        </w:rPr>
      </w:pPr>
    </w:p>
    <w:sectPr>
      <w:pgSz w:w="11906" w:h="16838"/>
      <w:pgMar w:top="907" w:right="851" w:bottom="284" w:left="1418" w:header="851" w:footer="992" w:gutter="0"/>
      <w:cols w:space="425" w:num="1"/>
      <w:docGrid w:type="linesAndChars" w:linePitch="3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68C"/>
    <w:multiLevelType w:val="multilevel"/>
    <w:tmpl w:val="0021268C"/>
    <w:lvl w:ilvl="0" w:tentative="0">
      <w:start w:val="1"/>
      <w:numFmt w:val="decimalFullWidth"/>
      <w:lvlText w:val="%1．"/>
      <w:lvlJc w:val="left"/>
      <w:pPr>
        <w:tabs>
          <w:tab w:val="left" w:pos="358"/>
        </w:tabs>
        <w:ind w:left="358" w:hanging="360"/>
      </w:pPr>
      <w:rPr>
        <w:rFonts w:hint="eastAsia"/>
      </w:rPr>
    </w:lvl>
    <w:lvl w:ilvl="1" w:tentative="0">
      <w:start w:val="1"/>
      <w:numFmt w:val="aiueoFullWidth"/>
      <w:lvlText w:val="(%2)"/>
      <w:lvlJc w:val="left"/>
      <w:pPr>
        <w:tabs>
          <w:tab w:val="left" w:pos="838"/>
        </w:tabs>
        <w:ind w:left="838" w:hanging="420"/>
      </w:pPr>
    </w:lvl>
    <w:lvl w:ilvl="2" w:tentative="0">
      <w:start w:val="1"/>
      <w:numFmt w:val="decimalEnclosedCircle"/>
      <w:lvlText w:val="%3"/>
      <w:lvlJc w:val="left"/>
      <w:pPr>
        <w:tabs>
          <w:tab w:val="left" w:pos="1258"/>
        </w:tabs>
        <w:ind w:left="1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1678"/>
        </w:tabs>
        <w:ind w:left="1678" w:hanging="420"/>
      </w:pPr>
    </w:lvl>
    <w:lvl w:ilvl="4" w:tentative="0">
      <w:start w:val="1"/>
      <w:numFmt w:val="aiueoFullWidth"/>
      <w:lvlText w:val="(%5)"/>
      <w:lvlJc w:val="left"/>
      <w:pPr>
        <w:tabs>
          <w:tab w:val="left" w:pos="2098"/>
        </w:tabs>
        <w:ind w:left="2098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18"/>
        </w:tabs>
        <w:ind w:left="2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58"/>
        </w:tabs>
        <w:ind w:left="3358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78"/>
        </w:tabs>
        <w:ind w:left="3778" w:hanging="420"/>
      </w:pPr>
    </w:lvl>
  </w:abstractNum>
  <w:abstractNum w:abstractNumId="1">
    <w:nsid w:val="584A6581"/>
    <w:multiLevelType w:val="multilevel"/>
    <w:tmpl w:val="584A6581"/>
    <w:lvl w:ilvl="0" w:tentative="0">
      <w:start w:val="1"/>
      <w:numFmt w:val="decimalFullWidth"/>
      <w:lvlText w:val="%1．"/>
      <w:lvlJc w:val="left"/>
      <w:pPr>
        <w:tabs>
          <w:tab w:val="left" w:pos="358"/>
        </w:tabs>
        <w:ind w:left="358" w:hanging="360"/>
      </w:pPr>
      <w:rPr>
        <w:rFonts w:hint="eastAsia"/>
      </w:rPr>
    </w:lvl>
    <w:lvl w:ilvl="1" w:tentative="0">
      <w:start w:val="1"/>
      <w:numFmt w:val="decimalFullWidth"/>
      <w:lvlText w:val="（%2）"/>
      <w:lvlJc w:val="left"/>
      <w:pPr>
        <w:tabs>
          <w:tab w:val="left" w:pos="808"/>
        </w:tabs>
        <w:ind w:left="808" w:hanging="390"/>
      </w:pPr>
      <w:rPr>
        <w:rFonts w:hint="eastAsia"/>
      </w:rPr>
    </w:lvl>
    <w:lvl w:ilvl="2" w:tentative="0">
      <w:start w:val="1"/>
      <w:numFmt w:val="decimalEnclosedCircle"/>
      <w:lvlText w:val="%3"/>
      <w:lvlJc w:val="left"/>
      <w:pPr>
        <w:tabs>
          <w:tab w:val="left" w:pos="1258"/>
        </w:tabs>
        <w:ind w:left="1258" w:hanging="420"/>
      </w:pPr>
    </w:lvl>
    <w:lvl w:ilvl="3" w:tentative="0">
      <w:start w:val="0"/>
      <w:numFmt w:val="bullet"/>
      <w:lvlText w:val="・"/>
      <w:lvlJc w:val="left"/>
      <w:pPr>
        <w:tabs>
          <w:tab w:val="left" w:pos="1618"/>
        </w:tabs>
        <w:ind w:left="1618" w:hanging="360"/>
      </w:pPr>
      <w:rPr>
        <w:rFonts w:hint="default" w:ascii="Times New Roman" w:hAnsi="Times New Roman" w:eastAsia="ＭＳ Ｐゴシック" w:cs="Times New Roman"/>
      </w:rPr>
    </w:lvl>
    <w:lvl w:ilvl="4" w:tentative="0">
      <w:start w:val="1"/>
      <w:numFmt w:val="aiueoFullWidth"/>
      <w:lvlText w:val="(%5)"/>
      <w:lvlJc w:val="left"/>
      <w:pPr>
        <w:tabs>
          <w:tab w:val="left" w:pos="2098"/>
        </w:tabs>
        <w:ind w:left="2098" w:hanging="420"/>
      </w:pPr>
    </w:lvl>
    <w:lvl w:ilvl="5" w:tentative="0">
      <w:start w:val="1"/>
      <w:numFmt w:val="decimalEnclosedCircle"/>
      <w:lvlText w:val="%6"/>
      <w:lvlJc w:val="left"/>
      <w:pPr>
        <w:tabs>
          <w:tab w:val="left" w:pos="2518"/>
        </w:tabs>
        <w:ind w:left="2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2938"/>
        </w:tabs>
        <w:ind w:left="2938" w:hanging="420"/>
      </w:pPr>
    </w:lvl>
    <w:lvl w:ilvl="7" w:tentative="0">
      <w:start w:val="1"/>
      <w:numFmt w:val="aiueoFullWidth"/>
      <w:lvlText w:val="(%8)"/>
      <w:lvlJc w:val="left"/>
      <w:pPr>
        <w:tabs>
          <w:tab w:val="left" w:pos="3358"/>
        </w:tabs>
        <w:ind w:left="3358" w:hanging="420"/>
      </w:pPr>
    </w:lvl>
    <w:lvl w:ilvl="8" w:tentative="0">
      <w:start w:val="1"/>
      <w:numFmt w:val="decimalEnclosedCircle"/>
      <w:lvlText w:val="%9"/>
      <w:lvlJc w:val="left"/>
      <w:pPr>
        <w:tabs>
          <w:tab w:val="left" w:pos="3778"/>
        </w:tabs>
        <w:ind w:left="377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60"/>
    <w:rsid w:val="000E7E98"/>
    <w:rsid w:val="00220164"/>
    <w:rsid w:val="00274C24"/>
    <w:rsid w:val="003645C3"/>
    <w:rsid w:val="003A31AB"/>
    <w:rsid w:val="004143CB"/>
    <w:rsid w:val="004F665C"/>
    <w:rsid w:val="005A43A0"/>
    <w:rsid w:val="00705AF1"/>
    <w:rsid w:val="007364EE"/>
    <w:rsid w:val="0079648C"/>
    <w:rsid w:val="008E6DE3"/>
    <w:rsid w:val="00B355A4"/>
    <w:rsid w:val="00B73BDA"/>
    <w:rsid w:val="00B80438"/>
    <w:rsid w:val="00B93E47"/>
    <w:rsid w:val="00CA6B60"/>
    <w:rsid w:val="00CB626C"/>
    <w:rsid w:val="00DD2D07"/>
    <w:rsid w:val="00E95F95"/>
    <w:rsid w:val="00FA1F96"/>
    <w:rsid w:val="0266561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ind w:left="-2" w:leftChars="-1" w:right="-2" w:rightChars="-1"/>
    </w:pPr>
    <w:rPr>
      <w:rFonts w:ascii="ＭＳ Ｐゴシック" w:hAnsi="ＭＳ Ｐゴシック" w:eastAsia="ＭＳ Ｐゴシック"/>
      <w:sz w:val="22"/>
      <w:szCs w:val="22"/>
    </w:rPr>
  </w:style>
  <w:style w:type="paragraph" w:styleId="3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7">
    <w:name w:val="ヘッダー (文字)"/>
    <w:basedOn w:val="5"/>
    <w:link w:val="4"/>
    <w:uiPriority w:val="99"/>
    <w:rPr>
      <w:kern w:val="2"/>
      <w:sz w:val="21"/>
      <w:szCs w:val="24"/>
    </w:rPr>
  </w:style>
  <w:style w:type="character" w:customStyle="1" w:styleId="8">
    <w:name w:val="フッター (文字)"/>
    <w:basedOn w:val="5"/>
    <w:link w:val="3"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日本OTC医薬品協会</Company>
  <Pages>1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2018-09-06T01:50:00Z</dcterms:created>
  <dc:creator>JSMI_6</dc:creator>
  <cp:lastModifiedBy>JHKB-01</cp:lastModifiedBy>
  <cp:lastPrinted>2018-07-03T02:19:00Z</cp:lastPrinted>
  <dcterms:modified xsi:type="dcterms:W3CDTF">2019-08-19T08:06:33Z</dcterms:modified>
  <dc:title>医薬品を正しく購入するための　→ 14ポイントＳＭＰゴシック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